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F93" w:rsidRPr="008E3D53" w:rsidRDefault="00AD0F93" w:rsidP="00AD0F93">
      <w:pPr>
        <w:spacing w:after="120" w:line="240" w:lineRule="auto"/>
        <w:ind w:left="360"/>
        <w:jc w:val="center"/>
        <w:rPr>
          <w:b/>
          <w:sz w:val="24"/>
          <w:szCs w:val="24"/>
        </w:rPr>
      </w:pPr>
      <w:r w:rsidRPr="008E3D53">
        <w:rPr>
          <w:b/>
          <w:sz w:val="24"/>
          <w:szCs w:val="24"/>
        </w:rPr>
        <w:t xml:space="preserve">Declaration </w:t>
      </w:r>
    </w:p>
    <w:p w:rsidR="00AD0F93" w:rsidRPr="008E3D53" w:rsidRDefault="00AD0F93" w:rsidP="00AD0F93">
      <w:pPr>
        <w:spacing w:after="120" w:line="240" w:lineRule="auto"/>
        <w:ind w:left="360"/>
        <w:jc w:val="center"/>
        <w:rPr>
          <w:b/>
          <w:sz w:val="24"/>
          <w:szCs w:val="24"/>
        </w:rPr>
      </w:pPr>
      <w:r w:rsidRPr="008E3D53">
        <w:rPr>
          <w:b/>
          <w:sz w:val="24"/>
          <w:szCs w:val="24"/>
        </w:rPr>
        <w:t>2nd High Level Youth Dialogue “Bridging the Gap” conference, Skopje, 21 September 2018</w:t>
      </w:r>
    </w:p>
    <w:p w:rsidR="00AD0F93" w:rsidRDefault="00AD0F93" w:rsidP="00AD0F93">
      <w:pPr>
        <w:jc w:val="both"/>
      </w:pPr>
    </w:p>
    <w:p w:rsidR="00560D3A" w:rsidRDefault="00560D3A" w:rsidP="00AD0F93">
      <w:pPr>
        <w:jc w:val="both"/>
      </w:pPr>
    </w:p>
    <w:p w:rsidR="00AD0F93" w:rsidRDefault="00AD0F93" w:rsidP="00AD0F93">
      <w:pPr>
        <w:jc w:val="both"/>
      </w:pPr>
      <w:r>
        <w:t>We, the young members of Parliament and youth organisation</w:t>
      </w:r>
      <w:r w:rsidRPr="00CE43FB">
        <w:t xml:space="preserve"> representatives </w:t>
      </w:r>
      <w:r>
        <w:t xml:space="preserve">from the Western Balkans who took part in the 2nd </w:t>
      </w:r>
      <w:r w:rsidRPr="00CE43FB">
        <w:t>High Level You</w:t>
      </w:r>
      <w:r>
        <w:t>th Dialogue “Bridging the Gap”</w:t>
      </w:r>
      <w:r w:rsidRPr="00CE43FB">
        <w:t xml:space="preserve"> in Skopje, </w:t>
      </w:r>
      <w:r w:rsidR="0062658E">
        <w:t>20</w:t>
      </w:r>
      <w:r>
        <w:t>-</w:t>
      </w:r>
      <w:r w:rsidRPr="00CE43FB">
        <w:t>21 September 2018</w:t>
      </w:r>
      <w:r>
        <w:t xml:space="preserve">, declare our commitment to this framework in order to deliver concrete actions to enhance youth participation in politics and the implementation of youth-centred policies throughout the Western Balkans. </w:t>
      </w:r>
    </w:p>
    <w:p w:rsidR="00AD0F93" w:rsidRDefault="00AD0F93" w:rsidP="00AD0F93">
      <w:pPr>
        <w:jc w:val="both"/>
      </w:pPr>
      <w:r>
        <w:t xml:space="preserve">As well as focussing on specific themes during this 2nd High Level Dialogue, namely </w:t>
      </w:r>
      <w:r w:rsidRPr="00CE43FB">
        <w:rPr>
          <w:b/>
          <w:i/>
        </w:rPr>
        <w:t>Youth engagement with politics</w:t>
      </w:r>
      <w:r w:rsidRPr="00CE43FB">
        <w:rPr>
          <w:b/>
        </w:rPr>
        <w:t xml:space="preserve">, </w:t>
      </w:r>
      <w:r w:rsidRPr="00CE43FB">
        <w:rPr>
          <w:b/>
          <w:i/>
        </w:rPr>
        <w:t>Youth Employment, Enterprise and Brain Drain</w:t>
      </w:r>
      <w:r w:rsidRPr="00CE43FB">
        <w:rPr>
          <w:b/>
        </w:rPr>
        <w:t xml:space="preserve">, </w:t>
      </w:r>
      <w:r w:rsidRPr="00CE43FB">
        <w:rPr>
          <w:b/>
          <w:i/>
        </w:rPr>
        <w:t>Fake News and Disinformation</w:t>
      </w:r>
      <w:r w:rsidRPr="00CE43FB">
        <w:rPr>
          <w:b/>
        </w:rPr>
        <w:t xml:space="preserve"> as well as </w:t>
      </w:r>
      <w:r w:rsidRPr="00CE43FB">
        <w:rPr>
          <w:b/>
          <w:i/>
        </w:rPr>
        <w:t>Reconciliation and Legacies of the Pas</w:t>
      </w:r>
      <w:r w:rsidRPr="00E24182">
        <w:rPr>
          <w:i/>
        </w:rPr>
        <w:t>t</w:t>
      </w:r>
      <w:r>
        <w:t xml:space="preserve">, we also used an innovative policy design mechanism in the form of </w:t>
      </w:r>
      <w:r w:rsidRPr="00CE43FB">
        <w:rPr>
          <w:b/>
          <w:i/>
        </w:rPr>
        <w:t>Youth</w:t>
      </w:r>
      <w:r>
        <w:t xml:space="preserve"> </w:t>
      </w:r>
      <w:r w:rsidRPr="00F00530">
        <w:rPr>
          <w:b/>
          <w:i/>
        </w:rPr>
        <w:t>Policy Labs</w:t>
      </w:r>
      <w:r>
        <w:t xml:space="preserve"> to elaborate recommendations</w:t>
      </w:r>
      <w:r w:rsidRPr="00F00530">
        <w:t xml:space="preserve">. </w:t>
      </w:r>
    </w:p>
    <w:p w:rsidR="00AD0F93" w:rsidRDefault="00AD0F93" w:rsidP="00AD0F93">
      <w:pPr>
        <w:jc w:val="both"/>
        <w:rPr>
          <w:b/>
        </w:rPr>
      </w:pPr>
      <w:r w:rsidRPr="008E3D53">
        <w:t xml:space="preserve">As well as instrumental in agreeing on the </w:t>
      </w:r>
      <w:r w:rsidRPr="00F00530">
        <w:t>policy recommendations</w:t>
      </w:r>
      <w:r>
        <w:t xml:space="preserve"> listed in these conclusions</w:t>
      </w:r>
      <w:r w:rsidRPr="00F00530">
        <w:t xml:space="preserve">, the </w:t>
      </w:r>
      <w:r w:rsidRPr="002221E3">
        <w:rPr>
          <w:b/>
          <w:i/>
        </w:rPr>
        <w:t>Youth</w:t>
      </w:r>
      <w:r>
        <w:t xml:space="preserve"> </w:t>
      </w:r>
      <w:r w:rsidRPr="00F00530">
        <w:rPr>
          <w:b/>
          <w:i/>
        </w:rPr>
        <w:t>Policy Labs</w:t>
      </w:r>
      <w:r w:rsidRPr="00F00530">
        <w:t xml:space="preserve"> provided </w:t>
      </w:r>
      <w:r>
        <w:t>a</w:t>
      </w:r>
      <w:r w:rsidRPr="00F00530">
        <w:t xml:space="preserve"> blueprint </w:t>
      </w:r>
      <w:r>
        <w:t>to be followed-</w:t>
      </w:r>
      <w:r w:rsidRPr="00F00530">
        <w:t xml:space="preserve">up </w:t>
      </w:r>
      <w:r>
        <w:t xml:space="preserve">pro-actively in </w:t>
      </w:r>
      <w:r w:rsidRPr="00F00530">
        <w:t xml:space="preserve">the </w:t>
      </w:r>
      <w:r>
        <w:t xml:space="preserve">implementation of youth policies at the </w:t>
      </w:r>
      <w:r w:rsidRPr="00F00530">
        <w:t xml:space="preserve">national </w:t>
      </w:r>
      <w:r>
        <w:t xml:space="preserve">and regional level in </w:t>
      </w:r>
      <w:r w:rsidRPr="00F00530">
        <w:t xml:space="preserve">the Western Balkans </w:t>
      </w:r>
      <w:r>
        <w:t>region</w:t>
      </w:r>
      <w:r w:rsidRPr="00F00530">
        <w:t>.</w:t>
      </w:r>
    </w:p>
    <w:p w:rsidR="00AD0F93" w:rsidRDefault="00AD0F93" w:rsidP="00AD0F93">
      <w:pPr>
        <w:spacing w:after="120" w:line="240" w:lineRule="auto"/>
        <w:jc w:val="both"/>
      </w:pPr>
      <w:r>
        <w:t xml:space="preserve">We state our commitment to establish the </w:t>
      </w:r>
      <w:r w:rsidRPr="00614F21">
        <w:rPr>
          <w:b/>
          <w:i/>
        </w:rPr>
        <w:t>Bridging the Gap</w:t>
      </w:r>
      <w:r>
        <w:t xml:space="preserve"> as a sustainable regional dialogue platform focussed on eliminating </w:t>
      </w:r>
      <w:r w:rsidRPr="00A700E6">
        <w:t>the gap</w:t>
      </w:r>
      <w:r>
        <w:t xml:space="preserve"> between </w:t>
      </w:r>
      <w:r w:rsidRPr="00A700E6">
        <w:t xml:space="preserve">youth policy, youth participation and </w:t>
      </w:r>
      <w:r>
        <w:t>P</w:t>
      </w:r>
      <w:r w:rsidRPr="00A700E6">
        <w:t xml:space="preserve">arliamentarians in the Western Balkans. </w:t>
      </w:r>
      <w:r>
        <w:t xml:space="preserve">As Parliamentarians and active youth we intend to build on our dialogue and focus on action in the following areas:  </w:t>
      </w:r>
    </w:p>
    <w:p w:rsidR="00FE0887" w:rsidRDefault="00FE0887" w:rsidP="00AD0F93">
      <w:pPr>
        <w:spacing w:after="120" w:line="240" w:lineRule="auto"/>
        <w:jc w:val="both"/>
      </w:pPr>
    </w:p>
    <w:p w:rsidR="00AD0F93" w:rsidRPr="00B02CC2" w:rsidRDefault="005068D4" w:rsidP="00AD0F93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S</w:t>
      </w:r>
      <w:r w:rsidR="00AD0F93" w:rsidRPr="00B02CC2">
        <w:t>upport conditions for structured participation of national youth councils, youth organizations and young people in the process of creation of youth policies;</w:t>
      </w:r>
    </w:p>
    <w:p w:rsidR="00AD0F93" w:rsidRPr="00B02CC2" w:rsidRDefault="005068D4" w:rsidP="00AD0F93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P</w:t>
      </w:r>
      <w:r w:rsidR="00AD0F93" w:rsidRPr="00B02CC2">
        <w:t xml:space="preserve">articipate in regional initiatives such as the Regional Youth Cooperation Office; </w:t>
      </w:r>
    </w:p>
    <w:p w:rsidR="00AD0F93" w:rsidRPr="00B02CC2" w:rsidRDefault="005068D4" w:rsidP="00AD0F93">
      <w:pPr>
        <w:pStyle w:val="ListParagraph"/>
        <w:numPr>
          <w:ilvl w:val="0"/>
          <w:numId w:val="1"/>
        </w:numPr>
        <w:spacing w:after="120" w:line="240" w:lineRule="auto"/>
        <w:jc w:val="both"/>
      </w:pPr>
      <w:r>
        <w:t>C</w:t>
      </w:r>
      <w:bookmarkStart w:id="0" w:name="_GoBack"/>
      <w:bookmarkEnd w:id="0"/>
      <w:r w:rsidR="00AD0F93" w:rsidRPr="00B02CC2">
        <w:t>reate platforms, including national caucuses and regional parliamentary dialogues, to exchange knowledge and best practices youth-</w:t>
      </w:r>
      <w:proofErr w:type="spellStart"/>
      <w:r w:rsidR="00AD0F93" w:rsidRPr="00B02CC2">
        <w:t>centred</w:t>
      </w:r>
      <w:proofErr w:type="spellEnd"/>
      <w:r w:rsidR="00AD0F93" w:rsidRPr="00B02CC2">
        <w:t xml:space="preserve"> policies;</w:t>
      </w:r>
    </w:p>
    <w:p w:rsidR="00AD0F93" w:rsidRPr="00A700E6" w:rsidRDefault="00AD0F93" w:rsidP="00D71D07">
      <w:pPr>
        <w:pStyle w:val="ListParagraph"/>
        <w:numPr>
          <w:ilvl w:val="0"/>
          <w:numId w:val="1"/>
        </w:numPr>
        <w:spacing w:after="120" w:line="240" w:lineRule="auto"/>
        <w:jc w:val="both"/>
      </w:pPr>
      <w:r w:rsidRPr="00A700E6">
        <w:t xml:space="preserve">Continue the good practices of organizing regional and national conferences to enhance the dialogue between young people and parliaments regarding youth policies and the exchange of good </w:t>
      </w:r>
      <w:r w:rsidR="00D71D07">
        <w:t>practices between the countries.</w:t>
      </w:r>
    </w:p>
    <w:p w:rsidR="00AD0F93" w:rsidRPr="00A700E6" w:rsidRDefault="00AD0F93" w:rsidP="00AD0F93">
      <w:pPr>
        <w:pStyle w:val="ListParagraph"/>
        <w:numPr>
          <w:ilvl w:val="0"/>
          <w:numId w:val="1"/>
        </w:numPr>
        <w:spacing w:after="120" w:line="240" w:lineRule="auto"/>
        <w:jc w:val="both"/>
      </w:pPr>
      <w:r w:rsidRPr="00A700E6">
        <w:t>Create and support joint regional initiatives for the exchange of knowledge and data between the professional services in the six Western Balkan parliaments</w:t>
      </w:r>
    </w:p>
    <w:p w:rsidR="00AD0F93" w:rsidRDefault="00AD0F93" w:rsidP="00AD0F93">
      <w:pPr>
        <w:spacing w:after="120" w:line="240" w:lineRule="auto"/>
        <w:jc w:val="both"/>
      </w:pPr>
    </w:p>
    <w:p w:rsidR="00AD0F93" w:rsidRDefault="00AD0F93" w:rsidP="00AD0F93">
      <w:pPr>
        <w:spacing w:after="120" w:line="240" w:lineRule="auto"/>
        <w:jc w:val="both"/>
        <w:rPr>
          <w:b/>
          <w:i/>
        </w:rPr>
      </w:pPr>
      <w:r>
        <w:t xml:space="preserve">We welcome the continued support of the European Parliament’s Young Political Leaders Programme as well as the European Commission in such initiatives as </w:t>
      </w:r>
      <w:r w:rsidRPr="002221E3">
        <w:rPr>
          <w:b/>
          <w:i/>
        </w:rPr>
        <w:t>“Bridging the Gap</w:t>
      </w:r>
      <w:r>
        <w:rPr>
          <w:b/>
          <w:i/>
        </w:rPr>
        <w:t>”.</w:t>
      </w:r>
    </w:p>
    <w:p w:rsidR="00FE0887" w:rsidRDefault="00AD0F93" w:rsidP="00B02CC2">
      <w:pPr>
        <w:spacing w:after="120" w:line="240" w:lineRule="auto"/>
        <w:jc w:val="both"/>
      </w:pPr>
      <w:r>
        <w:t xml:space="preserve">We agreed to meet again in this and other frameworks to pursue the agenda set out in this Declaration. </w:t>
      </w:r>
    </w:p>
    <w:p w:rsidR="00D71D07" w:rsidRPr="008E3D53" w:rsidRDefault="00FE0887" w:rsidP="003E4FE0">
      <w:pPr>
        <w:jc w:val="center"/>
        <w:rPr>
          <w:sz w:val="28"/>
          <w:szCs w:val="28"/>
        </w:rPr>
      </w:pPr>
      <w:r>
        <w:br w:type="page"/>
      </w:r>
      <w:r w:rsidR="00D71D07" w:rsidRPr="008E3D53">
        <w:rPr>
          <w:sz w:val="28"/>
          <w:szCs w:val="28"/>
        </w:rPr>
        <w:lastRenderedPageBreak/>
        <w:t>Annex 1</w:t>
      </w:r>
    </w:p>
    <w:p w:rsidR="00D71D07" w:rsidRDefault="00D71D07" w:rsidP="00D71D07">
      <w:pPr>
        <w:spacing w:after="120" w:line="240" w:lineRule="auto"/>
      </w:pPr>
    </w:p>
    <w:p w:rsidR="003E4FE0" w:rsidRDefault="003E4FE0" w:rsidP="00D71D07">
      <w:pPr>
        <w:spacing w:after="120" w:line="240" w:lineRule="auto"/>
        <w:rPr>
          <w:i/>
        </w:rPr>
      </w:pPr>
    </w:p>
    <w:p w:rsidR="00D71D07" w:rsidRPr="008E3D53" w:rsidRDefault="00D71D07" w:rsidP="00D71D07">
      <w:pPr>
        <w:spacing w:after="120" w:line="240" w:lineRule="auto"/>
        <w:rPr>
          <w:i/>
        </w:rPr>
      </w:pPr>
      <w:r w:rsidRPr="008E3D53">
        <w:rPr>
          <w:i/>
        </w:rPr>
        <w:t xml:space="preserve">Conclusions adopted after </w:t>
      </w:r>
      <w:r w:rsidR="008E3D53" w:rsidRPr="008E3D53">
        <w:rPr>
          <w:i/>
        </w:rPr>
        <w:t>the Policy Lab sessions:</w:t>
      </w:r>
    </w:p>
    <w:p w:rsidR="008E3D53" w:rsidRDefault="008E3D53" w:rsidP="00D71D07">
      <w:pPr>
        <w:spacing w:after="120" w:line="240" w:lineRule="auto"/>
      </w:pPr>
    </w:p>
    <w:p w:rsidR="00D71D07" w:rsidRDefault="00D71D07" w:rsidP="00B02CC2">
      <w:pPr>
        <w:spacing w:after="120" w:line="240" w:lineRule="auto"/>
        <w:jc w:val="both"/>
      </w:pPr>
    </w:p>
    <w:p w:rsidR="00FE0887" w:rsidRDefault="00FE0887" w:rsidP="00FE0887">
      <w:pPr>
        <w:spacing w:after="120" w:line="240" w:lineRule="auto"/>
        <w:ind w:firstLine="360"/>
        <w:jc w:val="both"/>
        <w:rPr>
          <w:b/>
          <w:i/>
        </w:rPr>
      </w:pPr>
      <w:r w:rsidRPr="00CE43FB">
        <w:rPr>
          <w:b/>
          <w:i/>
        </w:rPr>
        <w:t>Youth engagement with politics</w:t>
      </w:r>
    </w:p>
    <w:p w:rsidR="00560D3A" w:rsidRDefault="00560D3A" w:rsidP="00FE0887">
      <w:pPr>
        <w:spacing w:after="120" w:line="240" w:lineRule="auto"/>
        <w:ind w:firstLine="360"/>
        <w:jc w:val="both"/>
      </w:pPr>
    </w:p>
    <w:p w:rsidR="00FE0887" w:rsidRDefault="00FE0887" w:rsidP="00FE088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Audit the barriers to youth participation</w:t>
      </w:r>
    </w:p>
    <w:p w:rsidR="00FE0887" w:rsidRDefault="00FE0887" w:rsidP="00FE088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Civic education as part of formal education</w:t>
      </w:r>
    </w:p>
    <w:p w:rsidR="00FE0887" w:rsidRDefault="00FE0887" w:rsidP="00FE088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Support the debate on vote for 16 olds</w:t>
      </w:r>
    </w:p>
    <w:p w:rsidR="00FE0887" w:rsidRDefault="00FE0887" w:rsidP="00FE088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Encourage the creation of new spaces for political debate, including parliamentary caucuses</w:t>
      </w:r>
    </w:p>
    <w:p w:rsidR="00FF5457" w:rsidRDefault="00FF5457" w:rsidP="00FF5457">
      <w:pPr>
        <w:spacing w:after="120" w:line="240" w:lineRule="auto"/>
        <w:ind w:left="360"/>
        <w:jc w:val="both"/>
      </w:pPr>
    </w:p>
    <w:p w:rsidR="00FF5457" w:rsidRDefault="00FF5457" w:rsidP="00FF5457">
      <w:pPr>
        <w:spacing w:after="120" w:line="240" w:lineRule="auto"/>
        <w:ind w:left="360"/>
        <w:jc w:val="both"/>
        <w:rPr>
          <w:b/>
          <w:i/>
        </w:rPr>
      </w:pPr>
      <w:r w:rsidRPr="00CE43FB">
        <w:rPr>
          <w:b/>
          <w:i/>
        </w:rPr>
        <w:t>Youth Employment, Enterprise and Brain Drain</w:t>
      </w:r>
    </w:p>
    <w:p w:rsidR="00FF5457" w:rsidRDefault="00FF5457" w:rsidP="00FF5457">
      <w:pPr>
        <w:spacing w:after="120" w:line="240" w:lineRule="auto"/>
        <w:ind w:left="360"/>
        <w:jc w:val="both"/>
        <w:rPr>
          <w:b/>
          <w:i/>
        </w:rPr>
      </w:pPr>
    </w:p>
    <w:p w:rsidR="00FF5457" w:rsidRDefault="00FF5457" w:rsidP="00FF545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Introduction of social entrepreneurship for all Youth</w:t>
      </w:r>
    </w:p>
    <w:p w:rsidR="00FF5457" w:rsidRDefault="00FF5457" w:rsidP="00FF545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Introduction of obligatory apprenticeship/internship and service learning</w:t>
      </w:r>
    </w:p>
    <w:p w:rsidR="00FF5457" w:rsidRDefault="00FF5457" w:rsidP="00FF545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Recognition of informal learning</w:t>
      </w:r>
    </w:p>
    <w:p w:rsidR="00FF5457" w:rsidRDefault="00FF5457" w:rsidP="00FF545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Introduction of competence based approach</w:t>
      </w:r>
    </w:p>
    <w:p w:rsidR="00FF5457" w:rsidRDefault="00FF5457" w:rsidP="00FF545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Introduction of quality assurance in particular for apprenticeships</w:t>
      </w:r>
    </w:p>
    <w:p w:rsidR="00FF5457" w:rsidRDefault="00FF5457" w:rsidP="00FF545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Increased participation of youth trough formalized procedures and clear agenda for youth with allocated budget for measures contained</w:t>
      </w:r>
    </w:p>
    <w:p w:rsidR="00FF5457" w:rsidRPr="00FF5457" w:rsidRDefault="00FF5457" w:rsidP="00FF545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Increased budget allocation for education</w:t>
      </w:r>
    </w:p>
    <w:p w:rsidR="006641D4" w:rsidRDefault="006641D4" w:rsidP="006641D4">
      <w:pPr>
        <w:spacing w:after="120" w:line="240" w:lineRule="auto"/>
        <w:ind w:left="360"/>
        <w:jc w:val="both"/>
      </w:pPr>
    </w:p>
    <w:p w:rsidR="006641D4" w:rsidRDefault="00FE0887" w:rsidP="006641D4">
      <w:pPr>
        <w:spacing w:after="120" w:line="240" w:lineRule="auto"/>
        <w:ind w:left="360"/>
        <w:jc w:val="both"/>
        <w:rPr>
          <w:b/>
          <w:i/>
        </w:rPr>
      </w:pPr>
      <w:r w:rsidRPr="00CE43FB">
        <w:rPr>
          <w:b/>
          <w:i/>
        </w:rPr>
        <w:t>Fake News and Disinformation</w:t>
      </w:r>
    </w:p>
    <w:p w:rsidR="00560D3A" w:rsidRDefault="00560D3A" w:rsidP="006641D4">
      <w:pPr>
        <w:spacing w:after="120" w:line="240" w:lineRule="auto"/>
        <w:ind w:left="360"/>
        <w:jc w:val="both"/>
      </w:pPr>
    </w:p>
    <w:p w:rsidR="006641D4" w:rsidRDefault="006641D4" w:rsidP="006641D4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 xml:space="preserve">Raise </w:t>
      </w:r>
      <w:r w:rsidR="00FE0887">
        <w:t xml:space="preserve">awareness of the </w:t>
      </w:r>
      <w:r>
        <w:t>adverse effects of disinfo</w:t>
      </w:r>
      <w:r w:rsidR="00FE0887">
        <w:t>rmation</w:t>
      </w:r>
      <w:r>
        <w:t xml:space="preserve"> and fake news on societal resilience</w:t>
      </w:r>
    </w:p>
    <w:p w:rsidR="006641D4" w:rsidRDefault="00FE0887" w:rsidP="006641D4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A</w:t>
      </w:r>
      <w:r w:rsidR="006641D4">
        <w:t>dvocate contemporary approach</w:t>
      </w:r>
      <w:r>
        <w:t>es</w:t>
      </w:r>
      <w:r w:rsidR="006641D4">
        <w:t xml:space="preserve"> </w:t>
      </w:r>
      <w:r>
        <w:t>in</w:t>
      </w:r>
      <w:r w:rsidR="006641D4">
        <w:t xml:space="preserve"> introducing media literacy in schools</w:t>
      </w:r>
    </w:p>
    <w:p w:rsidR="006641D4" w:rsidRDefault="00FE0887" w:rsidP="006641D4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Help introduce and develop</w:t>
      </w:r>
      <w:r w:rsidR="006641D4">
        <w:t xml:space="preserve"> culture debate </w:t>
      </w:r>
      <w:r>
        <w:t>through the educational system and media</w:t>
      </w:r>
    </w:p>
    <w:p w:rsidR="006641D4" w:rsidRDefault="006641D4" w:rsidP="006641D4">
      <w:pPr>
        <w:spacing w:after="120" w:line="240" w:lineRule="auto"/>
        <w:jc w:val="both"/>
      </w:pPr>
    </w:p>
    <w:p w:rsidR="00FE0887" w:rsidRDefault="00FE0887" w:rsidP="00FE0887">
      <w:pPr>
        <w:spacing w:after="120" w:line="240" w:lineRule="auto"/>
        <w:ind w:firstLine="360"/>
        <w:jc w:val="both"/>
        <w:rPr>
          <w:i/>
        </w:rPr>
      </w:pPr>
      <w:r w:rsidRPr="00CE43FB">
        <w:rPr>
          <w:b/>
          <w:i/>
        </w:rPr>
        <w:t>Reconciliation and Legacies of the Pas</w:t>
      </w:r>
      <w:r w:rsidRPr="00E24182">
        <w:rPr>
          <w:i/>
        </w:rPr>
        <w:t>t</w:t>
      </w:r>
    </w:p>
    <w:p w:rsidR="00560D3A" w:rsidRDefault="00560D3A" w:rsidP="00FE0887">
      <w:pPr>
        <w:spacing w:after="120" w:line="240" w:lineRule="auto"/>
        <w:ind w:firstLine="360"/>
        <w:jc w:val="both"/>
      </w:pPr>
    </w:p>
    <w:p w:rsidR="00FE0887" w:rsidRDefault="00FE0887" w:rsidP="00FE088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Support the development and implementation of law on voluntarism that will ensure effective regional exchange and regional voluntary actions that will contribute to reconciliation</w:t>
      </w:r>
    </w:p>
    <w:p w:rsidR="00FE0887" w:rsidRDefault="00FE0887" w:rsidP="00FE088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Advocate for integrated education – formal and informal</w:t>
      </w:r>
    </w:p>
    <w:p w:rsidR="00FE0887" w:rsidRDefault="00FE0887" w:rsidP="00FE0887">
      <w:pPr>
        <w:pStyle w:val="ListParagraph"/>
        <w:numPr>
          <w:ilvl w:val="0"/>
          <w:numId w:val="2"/>
        </w:numPr>
        <w:spacing w:after="120" w:line="240" w:lineRule="auto"/>
        <w:jc w:val="both"/>
      </w:pPr>
      <w:r>
        <w:t>Introduce Balkan Youth Mobility Scheme</w:t>
      </w:r>
    </w:p>
    <w:p w:rsidR="006641D4" w:rsidRDefault="006641D4" w:rsidP="006641D4">
      <w:pPr>
        <w:pStyle w:val="ListParagraph"/>
        <w:spacing w:after="120" w:line="240" w:lineRule="auto"/>
        <w:jc w:val="both"/>
      </w:pPr>
    </w:p>
    <w:sectPr w:rsidR="006641D4" w:rsidSect="004901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316" w:rsidRDefault="001C5316">
      <w:pPr>
        <w:spacing w:after="0" w:line="240" w:lineRule="auto"/>
      </w:pPr>
      <w:r>
        <w:separator/>
      </w:r>
    </w:p>
  </w:endnote>
  <w:endnote w:type="continuationSeparator" w:id="0">
    <w:p w:rsidR="001C5316" w:rsidRDefault="001C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316" w:rsidRDefault="001C5316">
      <w:pPr>
        <w:spacing w:after="0" w:line="240" w:lineRule="auto"/>
      </w:pPr>
      <w:r>
        <w:separator/>
      </w:r>
    </w:p>
  </w:footnote>
  <w:footnote w:type="continuationSeparator" w:id="0">
    <w:p w:rsidR="001C5316" w:rsidRDefault="001C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F8C" w:rsidRDefault="00AD0F93" w:rsidP="00D00F8C">
    <w:pPr>
      <w:pStyle w:val="Footer"/>
      <w:ind w:left="-284"/>
      <w:rPr>
        <w:rFonts w:ascii="Tahoma" w:hAnsi="Tahoma" w:cs="Tahoma"/>
        <w:b/>
        <w:sz w:val="18"/>
        <w:szCs w:val="18"/>
      </w:rPr>
    </w:pPr>
    <w:r w:rsidRPr="00931531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257364A" wp14:editId="06CA68A9">
          <wp:simplePos x="0" y="0"/>
          <wp:positionH relativeFrom="column">
            <wp:posOffset>4752975</wp:posOffset>
          </wp:positionH>
          <wp:positionV relativeFrom="page">
            <wp:posOffset>458470</wp:posOffset>
          </wp:positionV>
          <wp:extent cx="1429385" cy="1134745"/>
          <wp:effectExtent l="0" t="0" r="0" b="0"/>
          <wp:wrapNone/>
          <wp:docPr id="1" name="Picture 1" descr="MonoCol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MonoColor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134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153B">
      <w:rPr>
        <w:noProof/>
        <w:lang w:val="en-US"/>
      </w:rPr>
      <w:drawing>
        <wp:inline distT="0" distB="0" distL="0" distR="0" wp14:anchorId="1E1DE294" wp14:editId="7B8A10AB">
          <wp:extent cx="1194041" cy="790575"/>
          <wp:effectExtent l="0" t="0" r="6350" b="0"/>
          <wp:docPr id="3" name="Picture 3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lated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751" cy="804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noProof/>
        <w:sz w:val="18"/>
        <w:szCs w:val="18"/>
      </w:rPr>
      <w:t xml:space="preserve">                               </w:t>
    </w:r>
  </w:p>
  <w:p w:rsidR="00D00F8C" w:rsidRDefault="001C5316" w:rsidP="00D00F8C">
    <w:pPr>
      <w:pStyle w:val="Header"/>
    </w:pPr>
  </w:p>
  <w:p w:rsidR="00D00F8C" w:rsidRDefault="001C53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300DC"/>
    <w:multiLevelType w:val="hybridMultilevel"/>
    <w:tmpl w:val="444450A6"/>
    <w:lvl w:ilvl="0" w:tplc="525AE2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3396"/>
    <w:multiLevelType w:val="hybridMultilevel"/>
    <w:tmpl w:val="5C98D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93"/>
    <w:rsid w:val="001C5316"/>
    <w:rsid w:val="0038472F"/>
    <w:rsid w:val="003E4FE0"/>
    <w:rsid w:val="005068D4"/>
    <w:rsid w:val="00560D3A"/>
    <w:rsid w:val="0062658E"/>
    <w:rsid w:val="006641D4"/>
    <w:rsid w:val="00666700"/>
    <w:rsid w:val="008E3D53"/>
    <w:rsid w:val="00AB25B3"/>
    <w:rsid w:val="00AD0F93"/>
    <w:rsid w:val="00AD626F"/>
    <w:rsid w:val="00B02CC2"/>
    <w:rsid w:val="00BB2E83"/>
    <w:rsid w:val="00C16F9D"/>
    <w:rsid w:val="00D079B2"/>
    <w:rsid w:val="00D34234"/>
    <w:rsid w:val="00D71D07"/>
    <w:rsid w:val="00F23B04"/>
    <w:rsid w:val="00FB1C7F"/>
    <w:rsid w:val="00FE0887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8A23"/>
  <w15:chartTrackingRefBased/>
  <w15:docId w15:val="{91B72A91-628A-4904-9AAF-48A2A0D0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9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D0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D0F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0F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F93"/>
    <w:rPr>
      <w:lang w:val="en-GB"/>
    </w:rPr>
  </w:style>
  <w:style w:type="paragraph" w:styleId="ListParagraph">
    <w:name w:val="List Paragraph"/>
    <w:basedOn w:val="Normal"/>
    <w:uiPriority w:val="34"/>
    <w:qFormat/>
    <w:rsid w:val="00AD0F9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 1</dc:creator>
  <cp:keywords/>
  <dc:description/>
  <cp:lastModifiedBy>Intern 1</cp:lastModifiedBy>
  <cp:revision>11</cp:revision>
  <dcterms:created xsi:type="dcterms:W3CDTF">2018-09-20T14:01:00Z</dcterms:created>
  <dcterms:modified xsi:type="dcterms:W3CDTF">2018-09-26T13:06:00Z</dcterms:modified>
</cp:coreProperties>
</file>